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97C" w:rsidRPr="006A37A1" w:rsidRDefault="00EA1512" w:rsidP="00A550A8">
      <w:pPr>
        <w:pStyle w:val="Title"/>
        <w:rPr>
          <w:sz w:val="24"/>
        </w:rPr>
      </w:pPr>
      <w:r w:rsidRPr="006A37A1">
        <w:rPr>
          <w:sz w:val="24"/>
        </w:rPr>
        <w:t xml:space="preserve">AGENCY REQUEST FOR </w:t>
      </w:r>
    </w:p>
    <w:p w:rsidR="00EA1512" w:rsidRPr="006A37A1" w:rsidRDefault="00EA1512" w:rsidP="00A550A8">
      <w:pPr>
        <w:pStyle w:val="Title"/>
        <w:rPr>
          <w:sz w:val="24"/>
        </w:rPr>
      </w:pPr>
      <w:r w:rsidRPr="006A37A1">
        <w:rPr>
          <w:sz w:val="24"/>
        </w:rPr>
        <w:t xml:space="preserve"> </w:t>
      </w:r>
      <w:r w:rsidR="00C0012D" w:rsidRPr="006A37A1">
        <w:rPr>
          <w:sz w:val="24"/>
        </w:rPr>
        <w:t xml:space="preserve">STATE </w:t>
      </w:r>
      <w:r w:rsidR="008B5231" w:rsidRPr="006A37A1">
        <w:rPr>
          <w:sz w:val="24"/>
        </w:rPr>
        <w:t xml:space="preserve">BUILDING </w:t>
      </w:r>
      <w:r w:rsidRPr="006A37A1">
        <w:rPr>
          <w:sz w:val="24"/>
        </w:rPr>
        <w:t>COMMISSION ACTION</w:t>
      </w:r>
    </w:p>
    <w:p w:rsidR="00C0397C" w:rsidRPr="006A37A1" w:rsidRDefault="00437AB6" w:rsidP="00A550A8">
      <w:pPr>
        <w:pStyle w:val="Title"/>
        <w:rPr>
          <w:sz w:val="24"/>
        </w:rPr>
      </w:pPr>
      <w:r w:rsidRPr="006A37A1">
        <w:rPr>
          <w:sz w:val="24"/>
        </w:rPr>
        <w:t>F</w:t>
      </w:r>
      <w:r w:rsidR="006355E4" w:rsidRPr="006A37A1">
        <w:rPr>
          <w:sz w:val="24"/>
        </w:rPr>
        <w:t>EBRUARY</w:t>
      </w:r>
      <w:r w:rsidRPr="006A37A1">
        <w:rPr>
          <w:sz w:val="24"/>
        </w:rPr>
        <w:t xml:space="preserve"> 2013</w:t>
      </w:r>
    </w:p>
    <w:p w:rsidR="00EA1512" w:rsidRPr="006A37A1" w:rsidRDefault="00EA1512" w:rsidP="00A550A8">
      <w:pPr>
        <w:rPr>
          <w:b/>
          <w:bCs/>
        </w:rPr>
      </w:pPr>
    </w:p>
    <w:p w:rsidR="00EA1512" w:rsidRPr="006A37A1" w:rsidRDefault="00EA1512" w:rsidP="00A550A8">
      <w:r w:rsidRPr="006A37A1">
        <w:rPr>
          <w:b/>
          <w:bCs/>
          <w:caps/>
        </w:rPr>
        <w:t>Agency</w:t>
      </w:r>
      <w:r w:rsidRPr="006A37A1">
        <w:rPr>
          <w:b/>
          <w:bCs/>
        </w:rPr>
        <w:t>:</w:t>
      </w:r>
      <w:r w:rsidR="00C0397C" w:rsidRPr="006A37A1">
        <w:t xml:space="preserve">  </w:t>
      </w:r>
      <w:r w:rsidRPr="006A37A1">
        <w:t>Department of Transportation</w:t>
      </w:r>
    </w:p>
    <w:p w:rsidR="00C0397C" w:rsidRPr="006A37A1" w:rsidRDefault="00C0397C" w:rsidP="00A550A8">
      <w:bookmarkStart w:id="0" w:name="_GoBack"/>
      <w:bookmarkEnd w:id="0"/>
    </w:p>
    <w:p w:rsidR="00C0012D" w:rsidRPr="006A37A1" w:rsidRDefault="00437AB6" w:rsidP="00517F40">
      <w:pPr>
        <w:ind w:left="960" w:hanging="960"/>
      </w:pPr>
      <w:r w:rsidRPr="006A37A1">
        <w:rPr>
          <w:b/>
        </w:rPr>
        <w:t>LOCATION</w:t>
      </w:r>
      <w:r w:rsidR="00C0012D" w:rsidRPr="006A37A1">
        <w:rPr>
          <w:b/>
        </w:rPr>
        <w:t>:</w:t>
      </w:r>
      <w:r w:rsidR="00C0012D" w:rsidRPr="006A37A1">
        <w:t xml:space="preserve"> </w:t>
      </w:r>
      <w:r w:rsidR="0079378B" w:rsidRPr="006A37A1">
        <w:t xml:space="preserve">Harrington Beach State Park, </w:t>
      </w:r>
      <w:r w:rsidR="00C0012D" w:rsidRPr="006A37A1">
        <w:t>Ozaukee County</w:t>
      </w:r>
    </w:p>
    <w:p w:rsidR="00C0012D" w:rsidRPr="006A37A1" w:rsidRDefault="00C0012D" w:rsidP="00AA147B">
      <w:pPr>
        <w:ind w:left="1440" w:hanging="1440"/>
      </w:pPr>
      <w:r w:rsidRPr="006A37A1">
        <w:rPr>
          <w:b/>
        </w:rPr>
        <w:tab/>
      </w:r>
      <w:r w:rsidRPr="006A37A1">
        <w:tab/>
      </w:r>
    </w:p>
    <w:p w:rsidR="00C0012D" w:rsidRPr="003E0DBE" w:rsidRDefault="00C0012D" w:rsidP="00437AB6">
      <w:pPr>
        <w:rPr>
          <w:b/>
          <w:bCs/>
        </w:rPr>
      </w:pPr>
      <w:proofErr w:type="gramStart"/>
      <w:r w:rsidRPr="006A37A1">
        <w:rPr>
          <w:b/>
          <w:bCs/>
        </w:rPr>
        <w:t xml:space="preserve">PROJECT </w:t>
      </w:r>
      <w:r w:rsidR="00EA1512" w:rsidRPr="006A37A1">
        <w:rPr>
          <w:b/>
          <w:bCs/>
        </w:rPr>
        <w:t>R</w:t>
      </w:r>
      <w:r w:rsidRPr="006A37A1">
        <w:rPr>
          <w:b/>
          <w:bCs/>
        </w:rPr>
        <w:t>EQUEST</w:t>
      </w:r>
      <w:r w:rsidR="00EA1512" w:rsidRPr="006A37A1">
        <w:rPr>
          <w:b/>
          <w:bCs/>
        </w:rPr>
        <w:t xml:space="preserve">:  </w:t>
      </w:r>
      <w:r w:rsidRPr="006A37A1">
        <w:t xml:space="preserve">Request </w:t>
      </w:r>
      <w:r w:rsidR="00437AB6" w:rsidRPr="006A37A1">
        <w:t>a</w:t>
      </w:r>
      <w:r w:rsidRPr="006A37A1">
        <w:t>uthority to constru</w:t>
      </w:r>
      <w:r w:rsidR="00E84F25" w:rsidRPr="006A37A1">
        <w:t>ct a Gap Filler Tower project at</w:t>
      </w:r>
      <w:r w:rsidRPr="006A37A1">
        <w:t xml:space="preserve"> </w:t>
      </w:r>
      <w:r w:rsidR="00270189" w:rsidRPr="006A37A1">
        <w:t xml:space="preserve">Harrington Beach State Park in </w:t>
      </w:r>
      <w:r w:rsidRPr="006A37A1">
        <w:t>Ozauke</w:t>
      </w:r>
      <w:r w:rsidR="00270189" w:rsidRPr="006A37A1">
        <w:t>e County for an estimated total</w:t>
      </w:r>
      <w:r w:rsidR="00E84F25" w:rsidRPr="006A37A1">
        <w:t xml:space="preserve"> </w:t>
      </w:r>
      <w:r w:rsidRPr="006A37A1">
        <w:t>cost of $</w:t>
      </w:r>
      <w:r w:rsidR="00FB367C" w:rsidRPr="006A37A1">
        <w:t>5</w:t>
      </w:r>
      <w:r w:rsidR="00437AB6" w:rsidRPr="006A37A1">
        <w:t>1</w:t>
      </w:r>
      <w:r w:rsidR="00E52218" w:rsidRPr="006A37A1">
        <w:t>5</w:t>
      </w:r>
      <w:r w:rsidR="00FB367C" w:rsidRPr="006A37A1">
        <w:t>,000</w:t>
      </w:r>
      <w:r w:rsidRPr="006A37A1">
        <w:t xml:space="preserve"> S</w:t>
      </w:r>
      <w:r w:rsidR="00B6606B" w:rsidRPr="006A37A1">
        <w:t>EG</w:t>
      </w:r>
      <w:r w:rsidRPr="006A37A1">
        <w:t>RB</w:t>
      </w:r>
      <w:r w:rsidR="00437AB6" w:rsidRPr="006A37A1">
        <w:t>.</w:t>
      </w:r>
      <w:proofErr w:type="gramEnd"/>
    </w:p>
    <w:p w:rsidR="00AA4D03" w:rsidRPr="006A37A1" w:rsidRDefault="00AA4D03" w:rsidP="00AA147B"/>
    <w:p w:rsidR="00C0012D" w:rsidRPr="006A37A1" w:rsidRDefault="00C0012D" w:rsidP="00C0012D">
      <w:pPr>
        <w:ind w:left="960" w:hanging="960"/>
        <w:rPr>
          <w:b/>
        </w:rPr>
      </w:pPr>
      <w:r w:rsidRPr="006A37A1">
        <w:rPr>
          <w:b/>
        </w:rPr>
        <w:t xml:space="preserve">PROJECT NUMBER:  </w:t>
      </w:r>
      <w:r w:rsidR="00FB367C" w:rsidRPr="006A37A1">
        <w:t>11I2V</w:t>
      </w:r>
    </w:p>
    <w:p w:rsidR="00AA4D03" w:rsidRPr="006A37A1" w:rsidRDefault="00AA4D03" w:rsidP="00C0012D"/>
    <w:p w:rsidR="00EA1512" w:rsidRPr="006A37A1" w:rsidRDefault="00EA1512" w:rsidP="00A550A8">
      <w:r w:rsidRPr="006A37A1">
        <w:rPr>
          <w:b/>
          <w:bCs/>
          <w:caps/>
        </w:rPr>
        <w:t>Project Description</w:t>
      </w:r>
      <w:r w:rsidRPr="006A37A1">
        <w:rPr>
          <w:b/>
          <w:bCs/>
        </w:rPr>
        <w:t>:</w:t>
      </w:r>
      <w:r w:rsidRPr="006A37A1">
        <w:t xml:space="preserve">  </w:t>
      </w:r>
    </w:p>
    <w:p w:rsidR="00EA1512" w:rsidRPr="006A37A1" w:rsidRDefault="00AA4D03" w:rsidP="006176DA">
      <w:pPr>
        <w:pStyle w:val="ListParagraph"/>
        <w:ind w:left="0"/>
      </w:pPr>
      <w:r w:rsidRPr="006A37A1">
        <w:t>T</w:t>
      </w:r>
      <w:r w:rsidR="00346A9D" w:rsidRPr="006A37A1">
        <w:t xml:space="preserve">he </w:t>
      </w:r>
      <w:r w:rsidR="00FB367C" w:rsidRPr="006A37A1">
        <w:t>project</w:t>
      </w:r>
      <w:r w:rsidR="004067E7" w:rsidRPr="006A37A1">
        <w:t xml:space="preserve"> </w:t>
      </w:r>
      <w:r w:rsidR="00F1264E" w:rsidRPr="006A37A1">
        <w:t>constructs</w:t>
      </w:r>
      <w:r w:rsidR="004067E7" w:rsidRPr="006A37A1">
        <w:t xml:space="preserve"> a 180-foot communications tower, prefabricated building, emergency generator, and security fencing at </w:t>
      </w:r>
      <w:r w:rsidR="00346A9D" w:rsidRPr="006A37A1">
        <w:t>Harrington Beach State Park.</w:t>
      </w:r>
      <w:r w:rsidR="004067E7" w:rsidRPr="006A37A1">
        <w:t xml:space="preserve">  The</w:t>
      </w:r>
      <w:r w:rsidR="00E92E53">
        <w:t xml:space="preserve"> DOT</w:t>
      </w:r>
      <w:r w:rsidR="004067E7" w:rsidRPr="006A37A1">
        <w:t xml:space="preserve"> will share space on this tower with the </w:t>
      </w:r>
      <w:r w:rsidR="00F1264E" w:rsidRPr="006A37A1">
        <w:t>DNR</w:t>
      </w:r>
      <w:r w:rsidR="004067E7" w:rsidRPr="006A37A1">
        <w:t xml:space="preserve"> and Ozaukee County.  The access will allow Ozaukee County to expand radio coverage into fringe areas of the county and Lake Michigan.</w:t>
      </w:r>
    </w:p>
    <w:p w:rsidR="00AA4D03" w:rsidRPr="006A37A1" w:rsidRDefault="00AA4D03" w:rsidP="006176DA">
      <w:pPr>
        <w:pStyle w:val="ListParagraph"/>
        <w:ind w:left="0"/>
      </w:pPr>
    </w:p>
    <w:p w:rsidR="0079378B" w:rsidRPr="006A37A1" w:rsidRDefault="0079378B" w:rsidP="00A550A8">
      <w:pPr>
        <w:rPr>
          <w:b/>
          <w:bCs/>
        </w:rPr>
      </w:pPr>
      <w:r w:rsidRPr="006A37A1">
        <w:rPr>
          <w:b/>
          <w:bCs/>
        </w:rPr>
        <w:t>JUSTIFICATION</w:t>
      </w:r>
      <w:r w:rsidR="00EA1512" w:rsidRPr="006A37A1">
        <w:rPr>
          <w:b/>
          <w:bCs/>
        </w:rPr>
        <w:t xml:space="preserve">:  </w:t>
      </w:r>
    </w:p>
    <w:p w:rsidR="00EA1512" w:rsidRPr="006A37A1" w:rsidRDefault="00EA1512" w:rsidP="00A550A8">
      <w:r w:rsidRPr="006A37A1">
        <w:t>This phase of the statewide tower construction will continue to address no-radio coverage areas in the state.  The gaps in communication have existed since the inception of the voice and data communication network, resulting in a concern for public and law enforcement safety.  The Mobile Data Communication Network has brought over 1</w:t>
      </w:r>
      <w:r w:rsidR="005D7706" w:rsidRPr="006A37A1">
        <w:t>,</w:t>
      </w:r>
      <w:r w:rsidRPr="006A37A1">
        <w:t xml:space="preserve">200 additional users </w:t>
      </w:r>
      <w:r w:rsidR="00F1264E" w:rsidRPr="006A37A1">
        <w:t xml:space="preserve">into the system </w:t>
      </w:r>
      <w:r w:rsidRPr="006A37A1">
        <w:t xml:space="preserve">over the years. These numbers have been steadily increasing with additional support for promoting the concept of statewide interoperability. The effect of this coordinated effort has increased the need to close the gaps and ensure the reliability of the system.  This project will further the goal of providing the necessary infrastructure, towers, and buildings to safely support and house the new equipment required for present and emerging wireless technologies. </w:t>
      </w:r>
      <w:r w:rsidR="00EC73A1" w:rsidRPr="006A37A1">
        <w:t xml:space="preserve"> </w:t>
      </w:r>
      <w:r w:rsidR="00FB367C" w:rsidRPr="006A37A1">
        <w:t xml:space="preserve">This </w:t>
      </w:r>
      <w:r w:rsidRPr="006A37A1">
        <w:t>s</w:t>
      </w:r>
      <w:r w:rsidR="00FB367C" w:rsidRPr="006A37A1">
        <w:t>ite</w:t>
      </w:r>
      <w:r w:rsidRPr="006A37A1">
        <w:t xml:space="preserve"> will also accommodate equipment for WISCOM.  </w:t>
      </w:r>
    </w:p>
    <w:p w:rsidR="00F44AB8" w:rsidRPr="006A37A1" w:rsidRDefault="00F44AB8" w:rsidP="00A550A8"/>
    <w:p w:rsidR="00EA1512" w:rsidRPr="006A37A1" w:rsidRDefault="00056A3C" w:rsidP="00A550A8">
      <w:r w:rsidRPr="006A37A1">
        <w:rPr>
          <w:b/>
          <w:bCs/>
        </w:rPr>
        <w:t>BUDGET</w:t>
      </w:r>
      <w:r w:rsidR="006355E4" w:rsidRPr="006A37A1">
        <w:rPr>
          <w:b/>
          <w:bCs/>
        </w:rPr>
        <w:t xml:space="preserve"> AND SCHEDULE</w:t>
      </w:r>
      <w:r w:rsidR="00EA1512" w:rsidRPr="006A37A1">
        <w:rPr>
          <w:b/>
          <w:bCs/>
        </w:rPr>
        <w:t>:</w:t>
      </w:r>
    </w:p>
    <w:tbl>
      <w:tblPr>
        <w:tblStyle w:val="TableGrid"/>
        <w:tblW w:w="0" w:type="auto"/>
        <w:tblInd w:w="108" w:type="dxa"/>
        <w:tblLook w:val="04A0" w:firstRow="1" w:lastRow="0" w:firstColumn="1" w:lastColumn="0" w:noHBand="0" w:noVBand="1"/>
      </w:tblPr>
      <w:tblGrid>
        <w:gridCol w:w="2430"/>
        <w:gridCol w:w="1292"/>
        <w:gridCol w:w="328"/>
        <w:gridCol w:w="2700"/>
        <w:gridCol w:w="1710"/>
      </w:tblGrid>
      <w:tr w:rsidR="006355E4" w:rsidRPr="006A37A1" w:rsidTr="0081657A">
        <w:trPr>
          <w:trHeight w:val="305"/>
        </w:trPr>
        <w:tc>
          <w:tcPr>
            <w:tcW w:w="2430" w:type="dxa"/>
          </w:tcPr>
          <w:p w:rsidR="006355E4" w:rsidRPr="006A37A1" w:rsidRDefault="0006282B" w:rsidP="006355E4">
            <w:r w:rsidRPr="006A37A1">
              <w:t>Construction</w:t>
            </w:r>
          </w:p>
        </w:tc>
        <w:tc>
          <w:tcPr>
            <w:tcW w:w="1292" w:type="dxa"/>
            <w:tcBorders>
              <w:right w:val="single" w:sz="4" w:space="0" w:color="auto"/>
            </w:tcBorders>
          </w:tcPr>
          <w:p w:rsidR="006355E4" w:rsidRPr="006A37A1" w:rsidRDefault="0081657A" w:rsidP="00AD32CC">
            <w:r w:rsidRPr="006A37A1">
              <w:t xml:space="preserve"> </w:t>
            </w:r>
            <w:r w:rsidR="00AA4D03" w:rsidRPr="006A37A1">
              <w:t xml:space="preserve"> </w:t>
            </w:r>
            <w:r w:rsidR="0006282B" w:rsidRPr="006A37A1">
              <w:t>$</w:t>
            </w:r>
            <w:r w:rsidR="00AD32CC" w:rsidRPr="006A37A1">
              <w:t>400</w:t>
            </w:r>
            <w:r w:rsidR="0006282B" w:rsidRPr="006A37A1">
              <w:t>,000</w:t>
            </w:r>
          </w:p>
        </w:tc>
        <w:tc>
          <w:tcPr>
            <w:tcW w:w="328" w:type="dxa"/>
            <w:tcBorders>
              <w:top w:val="nil"/>
              <w:left w:val="single" w:sz="4" w:space="0" w:color="auto"/>
              <w:bottom w:val="nil"/>
              <w:right w:val="single" w:sz="4" w:space="0" w:color="auto"/>
            </w:tcBorders>
          </w:tcPr>
          <w:p w:rsidR="006355E4" w:rsidRPr="006A37A1" w:rsidRDefault="006355E4" w:rsidP="006355E4"/>
        </w:tc>
        <w:tc>
          <w:tcPr>
            <w:tcW w:w="2700" w:type="dxa"/>
            <w:tcBorders>
              <w:left w:val="single" w:sz="4" w:space="0" w:color="auto"/>
            </w:tcBorders>
          </w:tcPr>
          <w:p w:rsidR="006355E4" w:rsidRPr="006A37A1" w:rsidRDefault="00AD32CC" w:rsidP="006355E4">
            <w:r w:rsidRPr="006A37A1">
              <w:t>SBC Approval</w:t>
            </w:r>
          </w:p>
        </w:tc>
        <w:tc>
          <w:tcPr>
            <w:tcW w:w="1710" w:type="dxa"/>
          </w:tcPr>
          <w:p w:rsidR="006355E4" w:rsidRPr="006A37A1" w:rsidRDefault="00AD32CC" w:rsidP="0081657A">
            <w:pPr>
              <w:jc w:val="right"/>
            </w:pPr>
            <w:r w:rsidRPr="006A37A1">
              <w:t>Feb 2013</w:t>
            </w:r>
          </w:p>
        </w:tc>
      </w:tr>
      <w:tr w:rsidR="006355E4" w:rsidRPr="006A37A1" w:rsidTr="0081657A">
        <w:trPr>
          <w:trHeight w:val="260"/>
        </w:trPr>
        <w:tc>
          <w:tcPr>
            <w:tcW w:w="2430" w:type="dxa"/>
          </w:tcPr>
          <w:p w:rsidR="006355E4" w:rsidRPr="006A37A1" w:rsidRDefault="0006282B" w:rsidP="006355E4">
            <w:r w:rsidRPr="006A37A1">
              <w:t>Design</w:t>
            </w:r>
          </w:p>
        </w:tc>
        <w:tc>
          <w:tcPr>
            <w:tcW w:w="1292" w:type="dxa"/>
            <w:tcBorders>
              <w:right w:val="single" w:sz="4" w:space="0" w:color="auto"/>
            </w:tcBorders>
          </w:tcPr>
          <w:p w:rsidR="006355E4" w:rsidRPr="006A37A1" w:rsidRDefault="0006282B" w:rsidP="00AD32CC">
            <w:r w:rsidRPr="006A37A1">
              <w:t xml:space="preserve">   </w:t>
            </w:r>
            <w:r w:rsidR="00AA4D03" w:rsidRPr="006A37A1">
              <w:t xml:space="preserve"> </w:t>
            </w:r>
            <w:r w:rsidR="0081657A" w:rsidRPr="006A37A1">
              <w:t>$</w:t>
            </w:r>
            <w:r w:rsidRPr="006A37A1">
              <w:t>4</w:t>
            </w:r>
            <w:r w:rsidR="00AD32CC" w:rsidRPr="006A37A1">
              <w:t>4</w:t>
            </w:r>
            <w:r w:rsidRPr="006A37A1">
              <w:t>,000</w:t>
            </w:r>
          </w:p>
        </w:tc>
        <w:tc>
          <w:tcPr>
            <w:tcW w:w="328" w:type="dxa"/>
            <w:tcBorders>
              <w:top w:val="nil"/>
              <w:left w:val="single" w:sz="4" w:space="0" w:color="auto"/>
              <w:bottom w:val="nil"/>
              <w:right w:val="single" w:sz="4" w:space="0" w:color="auto"/>
            </w:tcBorders>
          </w:tcPr>
          <w:p w:rsidR="006355E4" w:rsidRPr="006A37A1" w:rsidRDefault="006355E4" w:rsidP="006355E4"/>
        </w:tc>
        <w:tc>
          <w:tcPr>
            <w:tcW w:w="2700" w:type="dxa"/>
            <w:tcBorders>
              <w:left w:val="single" w:sz="4" w:space="0" w:color="auto"/>
            </w:tcBorders>
          </w:tcPr>
          <w:p w:rsidR="006355E4" w:rsidRPr="006A37A1" w:rsidRDefault="00AD32CC" w:rsidP="006355E4">
            <w:r w:rsidRPr="006A37A1">
              <w:t>A/E Selection</w:t>
            </w:r>
            <w:r w:rsidRPr="006A37A1">
              <w:tab/>
            </w:r>
          </w:p>
        </w:tc>
        <w:tc>
          <w:tcPr>
            <w:tcW w:w="1710" w:type="dxa"/>
          </w:tcPr>
          <w:p w:rsidR="006355E4" w:rsidRPr="006A37A1" w:rsidRDefault="00AD32CC" w:rsidP="0081657A">
            <w:pPr>
              <w:jc w:val="right"/>
            </w:pPr>
            <w:r w:rsidRPr="006A37A1">
              <w:t>Mar 2013</w:t>
            </w:r>
          </w:p>
        </w:tc>
      </w:tr>
      <w:tr w:rsidR="006355E4" w:rsidRPr="006A37A1" w:rsidTr="0081657A">
        <w:tc>
          <w:tcPr>
            <w:tcW w:w="2430" w:type="dxa"/>
          </w:tcPr>
          <w:p w:rsidR="006355E4" w:rsidRPr="006A37A1" w:rsidRDefault="0006282B" w:rsidP="006355E4">
            <w:r w:rsidRPr="006A37A1">
              <w:t>DFD Mgt</w:t>
            </w:r>
          </w:p>
        </w:tc>
        <w:tc>
          <w:tcPr>
            <w:tcW w:w="1292" w:type="dxa"/>
            <w:tcBorders>
              <w:right w:val="single" w:sz="4" w:space="0" w:color="auto"/>
            </w:tcBorders>
          </w:tcPr>
          <w:p w:rsidR="006355E4" w:rsidRPr="006A37A1" w:rsidRDefault="0081657A" w:rsidP="006355E4">
            <w:r w:rsidRPr="006A37A1">
              <w:t xml:space="preserve">    $</w:t>
            </w:r>
            <w:r w:rsidR="0006282B" w:rsidRPr="006A37A1">
              <w:t>17,600</w:t>
            </w:r>
          </w:p>
        </w:tc>
        <w:tc>
          <w:tcPr>
            <w:tcW w:w="328" w:type="dxa"/>
            <w:tcBorders>
              <w:top w:val="nil"/>
              <w:left w:val="single" w:sz="4" w:space="0" w:color="auto"/>
              <w:bottom w:val="nil"/>
              <w:right w:val="single" w:sz="4" w:space="0" w:color="auto"/>
            </w:tcBorders>
          </w:tcPr>
          <w:p w:rsidR="006355E4" w:rsidRPr="006A37A1" w:rsidRDefault="006355E4" w:rsidP="006355E4"/>
        </w:tc>
        <w:tc>
          <w:tcPr>
            <w:tcW w:w="2700" w:type="dxa"/>
            <w:tcBorders>
              <w:left w:val="single" w:sz="4" w:space="0" w:color="auto"/>
            </w:tcBorders>
          </w:tcPr>
          <w:p w:rsidR="006355E4" w:rsidRPr="006A37A1" w:rsidRDefault="00AD32CC" w:rsidP="006355E4">
            <w:r w:rsidRPr="006A37A1">
              <w:t>Bid Opening</w:t>
            </w:r>
          </w:p>
        </w:tc>
        <w:tc>
          <w:tcPr>
            <w:tcW w:w="1710" w:type="dxa"/>
          </w:tcPr>
          <w:p w:rsidR="006355E4" w:rsidRPr="006A37A1" w:rsidRDefault="00F675AC" w:rsidP="0081657A">
            <w:pPr>
              <w:jc w:val="right"/>
            </w:pPr>
            <w:r w:rsidRPr="006A37A1">
              <w:t>Sep</w:t>
            </w:r>
            <w:r w:rsidR="00AD32CC" w:rsidRPr="006A37A1">
              <w:t xml:space="preserve"> 2013</w:t>
            </w:r>
          </w:p>
        </w:tc>
      </w:tr>
      <w:tr w:rsidR="006355E4" w:rsidRPr="006A37A1" w:rsidTr="0081657A">
        <w:tc>
          <w:tcPr>
            <w:tcW w:w="2430" w:type="dxa"/>
          </w:tcPr>
          <w:p w:rsidR="006355E4" w:rsidRPr="006A37A1" w:rsidRDefault="0006282B" w:rsidP="006355E4">
            <w:r w:rsidRPr="006A37A1">
              <w:t>Contingency</w:t>
            </w:r>
          </w:p>
        </w:tc>
        <w:tc>
          <w:tcPr>
            <w:tcW w:w="1292" w:type="dxa"/>
            <w:tcBorders>
              <w:right w:val="single" w:sz="4" w:space="0" w:color="auto"/>
            </w:tcBorders>
          </w:tcPr>
          <w:p w:rsidR="006355E4" w:rsidRPr="006A37A1" w:rsidRDefault="0081657A" w:rsidP="006355E4">
            <w:r w:rsidRPr="006A37A1">
              <w:t xml:space="preserve">    $</w:t>
            </w:r>
            <w:r w:rsidR="0006282B" w:rsidRPr="006A37A1">
              <w:t>40,000</w:t>
            </w:r>
          </w:p>
        </w:tc>
        <w:tc>
          <w:tcPr>
            <w:tcW w:w="328" w:type="dxa"/>
            <w:tcBorders>
              <w:top w:val="nil"/>
              <w:left w:val="single" w:sz="4" w:space="0" w:color="auto"/>
              <w:bottom w:val="nil"/>
              <w:right w:val="single" w:sz="4" w:space="0" w:color="auto"/>
            </w:tcBorders>
          </w:tcPr>
          <w:p w:rsidR="006355E4" w:rsidRPr="006A37A1" w:rsidRDefault="006355E4" w:rsidP="006355E4"/>
        </w:tc>
        <w:tc>
          <w:tcPr>
            <w:tcW w:w="2700" w:type="dxa"/>
            <w:tcBorders>
              <w:left w:val="single" w:sz="4" w:space="0" w:color="auto"/>
            </w:tcBorders>
          </w:tcPr>
          <w:p w:rsidR="006355E4" w:rsidRPr="006A37A1" w:rsidRDefault="00AD32CC" w:rsidP="006355E4">
            <w:r w:rsidRPr="006A37A1">
              <w:t>Start Construction</w:t>
            </w:r>
          </w:p>
        </w:tc>
        <w:tc>
          <w:tcPr>
            <w:tcW w:w="1710" w:type="dxa"/>
          </w:tcPr>
          <w:p w:rsidR="006355E4" w:rsidRPr="006A37A1" w:rsidRDefault="00F675AC" w:rsidP="0081657A">
            <w:pPr>
              <w:jc w:val="right"/>
            </w:pPr>
            <w:r w:rsidRPr="006A37A1">
              <w:t>Oct</w:t>
            </w:r>
            <w:r w:rsidR="00AD32CC" w:rsidRPr="006A37A1">
              <w:t xml:space="preserve"> 2013</w:t>
            </w:r>
          </w:p>
        </w:tc>
      </w:tr>
      <w:tr w:rsidR="00AD32CC" w:rsidRPr="006A37A1" w:rsidTr="0081657A">
        <w:tc>
          <w:tcPr>
            <w:tcW w:w="2430" w:type="dxa"/>
          </w:tcPr>
          <w:p w:rsidR="00AD32CC" w:rsidRPr="006A37A1" w:rsidRDefault="00E84F25" w:rsidP="00AD32CC">
            <w:r w:rsidRPr="006A37A1">
              <w:t>Other Fees</w:t>
            </w:r>
          </w:p>
        </w:tc>
        <w:tc>
          <w:tcPr>
            <w:tcW w:w="1292" w:type="dxa"/>
            <w:tcBorders>
              <w:right w:val="single" w:sz="4" w:space="0" w:color="auto"/>
            </w:tcBorders>
          </w:tcPr>
          <w:p w:rsidR="00AD32CC" w:rsidRPr="006A37A1" w:rsidRDefault="0081657A" w:rsidP="00AD32CC">
            <w:r w:rsidRPr="006A37A1">
              <w:t xml:space="preserve">    $</w:t>
            </w:r>
            <w:r w:rsidR="00AD32CC" w:rsidRPr="006A37A1">
              <w:t>13,400</w:t>
            </w:r>
          </w:p>
        </w:tc>
        <w:tc>
          <w:tcPr>
            <w:tcW w:w="328" w:type="dxa"/>
            <w:tcBorders>
              <w:top w:val="nil"/>
              <w:left w:val="single" w:sz="4" w:space="0" w:color="auto"/>
              <w:bottom w:val="nil"/>
              <w:right w:val="single" w:sz="4" w:space="0" w:color="auto"/>
            </w:tcBorders>
          </w:tcPr>
          <w:p w:rsidR="00AD32CC" w:rsidRPr="006A37A1" w:rsidRDefault="00AD32CC" w:rsidP="006355E4"/>
        </w:tc>
        <w:tc>
          <w:tcPr>
            <w:tcW w:w="2700" w:type="dxa"/>
            <w:tcBorders>
              <w:left w:val="single" w:sz="4" w:space="0" w:color="auto"/>
            </w:tcBorders>
          </w:tcPr>
          <w:p w:rsidR="00AD32CC" w:rsidRPr="006A37A1" w:rsidRDefault="00AD32CC" w:rsidP="006355E4">
            <w:r w:rsidRPr="006A37A1">
              <w:t>Substantial Completion</w:t>
            </w:r>
          </w:p>
        </w:tc>
        <w:tc>
          <w:tcPr>
            <w:tcW w:w="1710" w:type="dxa"/>
          </w:tcPr>
          <w:p w:rsidR="00AD32CC" w:rsidRPr="006A37A1" w:rsidRDefault="00F675AC" w:rsidP="00F675AC">
            <w:pPr>
              <w:jc w:val="right"/>
            </w:pPr>
            <w:r w:rsidRPr="006A37A1">
              <w:t>Feb</w:t>
            </w:r>
            <w:r w:rsidR="00AD32CC" w:rsidRPr="006A37A1">
              <w:t xml:space="preserve"> 201</w:t>
            </w:r>
            <w:r w:rsidRPr="006A37A1">
              <w:t>4</w:t>
            </w:r>
          </w:p>
        </w:tc>
      </w:tr>
      <w:tr w:rsidR="00AD32CC" w:rsidRPr="006A37A1" w:rsidTr="0081657A">
        <w:tc>
          <w:tcPr>
            <w:tcW w:w="2430" w:type="dxa"/>
          </w:tcPr>
          <w:p w:rsidR="00AD32CC" w:rsidRPr="006A37A1" w:rsidRDefault="00AD32CC" w:rsidP="00AD32CC">
            <w:pPr>
              <w:rPr>
                <w:b/>
              </w:rPr>
            </w:pPr>
            <w:r w:rsidRPr="006A37A1">
              <w:rPr>
                <w:b/>
              </w:rPr>
              <w:t>TOTAL</w:t>
            </w:r>
          </w:p>
        </w:tc>
        <w:tc>
          <w:tcPr>
            <w:tcW w:w="1292" w:type="dxa"/>
            <w:tcBorders>
              <w:right w:val="single" w:sz="4" w:space="0" w:color="auto"/>
            </w:tcBorders>
          </w:tcPr>
          <w:p w:rsidR="00AD32CC" w:rsidRPr="006A37A1" w:rsidRDefault="00AA4D03" w:rsidP="00AD32CC">
            <w:pPr>
              <w:rPr>
                <w:b/>
              </w:rPr>
            </w:pPr>
            <w:r w:rsidRPr="006A37A1">
              <w:rPr>
                <w:b/>
              </w:rPr>
              <w:t xml:space="preserve"> </w:t>
            </w:r>
            <w:r w:rsidR="0081657A" w:rsidRPr="006A37A1">
              <w:rPr>
                <w:b/>
              </w:rPr>
              <w:t xml:space="preserve"> </w:t>
            </w:r>
            <w:r w:rsidR="00AD32CC" w:rsidRPr="006A37A1">
              <w:rPr>
                <w:b/>
              </w:rPr>
              <w:t xml:space="preserve">$515,000   </w:t>
            </w:r>
          </w:p>
        </w:tc>
        <w:tc>
          <w:tcPr>
            <w:tcW w:w="328" w:type="dxa"/>
            <w:tcBorders>
              <w:top w:val="nil"/>
              <w:left w:val="single" w:sz="4" w:space="0" w:color="auto"/>
              <w:bottom w:val="nil"/>
              <w:right w:val="single" w:sz="4" w:space="0" w:color="auto"/>
            </w:tcBorders>
          </w:tcPr>
          <w:p w:rsidR="00AD32CC" w:rsidRPr="006A37A1" w:rsidRDefault="00AD32CC" w:rsidP="006355E4"/>
        </w:tc>
        <w:tc>
          <w:tcPr>
            <w:tcW w:w="2700" w:type="dxa"/>
            <w:tcBorders>
              <w:left w:val="single" w:sz="4" w:space="0" w:color="auto"/>
            </w:tcBorders>
          </w:tcPr>
          <w:p w:rsidR="00AD32CC" w:rsidRPr="006A37A1" w:rsidRDefault="00AD32CC" w:rsidP="006355E4">
            <w:r w:rsidRPr="006A37A1">
              <w:t>Final Completion</w:t>
            </w:r>
          </w:p>
        </w:tc>
        <w:tc>
          <w:tcPr>
            <w:tcW w:w="1710" w:type="dxa"/>
          </w:tcPr>
          <w:p w:rsidR="00AD32CC" w:rsidRPr="006A37A1" w:rsidRDefault="00F675AC" w:rsidP="0081657A">
            <w:pPr>
              <w:jc w:val="right"/>
            </w:pPr>
            <w:r w:rsidRPr="006A37A1">
              <w:t>Apr</w:t>
            </w:r>
            <w:r w:rsidR="00AD32CC" w:rsidRPr="006A37A1">
              <w:t xml:space="preserve"> 2014</w:t>
            </w:r>
          </w:p>
        </w:tc>
      </w:tr>
    </w:tbl>
    <w:p w:rsidR="00437AB6" w:rsidRPr="006A37A1" w:rsidRDefault="00437AB6" w:rsidP="00056A3C">
      <w:pPr>
        <w:rPr>
          <w:b/>
        </w:rPr>
      </w:pPr>
    </w:p>
    <w:p w:rsidR="002349F0" w:rsidRPr="006A37A1" w:rsidRDefault="00AA4D03" w:rsidP="00A550A8">
      <w:pPr>
        <w:autoSpaceDE w:val="0"/>
        <w:autoSpaceDN w:val="0"/>
        <w:adjustRightInd w:val="0"/>
        <w:rPr>
          <w:b/>
          <w:bCs/>
        </w:rPr>
      </w:pPr>
      <w:r w:rsidRPr="006A37A1">
        <w:rPr>
          <w:b/>
          <w:bCs/>
        </w:rPr>
        <w:t>P</w:t>
      </w:r>
      <w:r w:rsidR="005442D9" w:rsidRPr="006A37A1">
        <w:rPr>
          <w:b/>
          <w:bCs/>
        </w:rPr>
        <w:t>REVIOUS ACTION</w:t>
      </w:r>
      <w:r w:rsidR="00EA1512" w:rsidRPr="006A37A1">
        <w:rPr>
          <w:b/>
          <w:bCs/>
        </w:rPr>
        <w:t xml:space="preserve">:  </w:t>
      </w:r>
    </w:p>
    <w:p w:rsidR="00EA1512" w:rsidRDefault="00BC197A" w:rsidP="00BC197A">
      <w:pPr>
        <w:autoSpaceDE w:val="0"/>
        <w:autoSpaceDN w:val="0"/>
        <w:adjustRightInd w:val="0"/>
      </w:pPr>
      <w:r>
        <w:t xml:space="preserve">The project is one of three tower sites enumerated for a total of </w:t>
      </w:r>
      <w:r w:rsidRPr="007B78BF">
        <w:t>$2,965,500 SEGRB in 2011 Wisconsin Act 32.</w:t>
      </w:r>
    </w:p>
    <w:p w:rsidR="00766F77" w:rsidRDefault="00766F77" w:rsidP="00BC197A">
      <w:pPr>
        <w:autoSpaceDE w:val="0"/>
        <w:autoSpaceDN w:val="0"/>
        <w:adjustRightInd w:val="0"/>
      </w:pPr>
    </w:p>
    <w:p w:rsidR="00766F77" w:rsidRPr="006A37A1" w:rsidRDefault="00766F77" w:rsidP="00766F77">
      <w:r>
        <w:rPr>
          <w:b/>
        </w:rPr>
        <w:t>AGENCY</w:t>
      </w:r>
      <w:r w:rsidRPr="006A37A1">
        <w:rPr>
          <w:b/>
        </w:rPr>
        <w:t xml:space="preserve"> CONTACT</w:t>
      </w:r>
      <w:r w:rsidRPr="006A37A1">
        <w:t xml:space="preserve">:  </w:t>
      </w:r>
      <w:r w:rsidRPr="00766F77">
        <w:t>Herman Green, Herman.Green@dot.wi.gov, 608.267.3633</w:t>
      </w:r>
    </w:p>
    <w:sectPr w:rsidR="00766F77" w:rsidRPr="006A37A1" w:rsidSect="00770E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A5BBC"/>
    <w:multiLevelType w:val="hybridMultilevel"/>
    <w:tmpl w:val="99282FB6"/>
    <w:lvl w:ilvl="0" w:tplc="AEC2BEE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69B7B62"/>
    <w:multiLevelType w:val="hybridMultilevel"/>
    <w:tmpl w:val="9C9A3D58"/>
    <w:lvl w:ilvl="0" w:tplc="9D9E411E">
      <w:start w:val="1"/>
      <w:numFmt w:val="lowerLetter"/>
      <w:lvlText w:val="%1)"/>
      <w:lvlJc w:val="left"/>
      <w:pPr>
        <w:tabs>
          <w:tab w:val="num" w:pos="1800"/>
        </w:tabs>
        <w:ind w:left="1800" w:hanging="360"/>
      </w:pPr>
      <w:rPr>
        <w:rFonts w:ascii="Times New Roman" w:hAnsi="Times New Roman" w:hint="default"/>
        <w:b w:val="0"/>
        <w:i w:val="0"/>
        <w:caps w:val="0"/>
        <w:vanish w:val="0"/>
        <w:color w:val="000000"/>
        <w:sz w:val="22"/>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6DE5490C"/>
    <w:multiLevelType w:val="hybridMultilevel"/>
    <w:tmpl w:val="2514E796"/>
    <w:lvl w:ilvl="0" w:tplc="5B5A082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86C"/>
    <w:rsid w:val="00056A3C"/>
    <w:rsid w:val="0006282B"/>
    <w:rsid w:val="0006797A"/>
    <w:rsid w:val="0009361E"/>
    <w:rsid w:val="000E5A51"/>
    <w:rsid w:val="00142629"/>
    <w:rsid w:val="00143BC4"/>
    <w:rsid w:val="00165CB6"/>
    <w:rsid w:val="001778A7"/>
    <w:rsid w:val="001953CE"/>
    <w:rsid w:val="001B146F"/>
    <w:rsid w:val="001D3E15"/>
    <w:rsid w:val="002349F0"/>
    <w:rsid w:val="00235433"/>
    <w:rsid w:val="00237FD9"/>
    <w:rsid w:val="0024472E"/>
    <w:rsid w:val="00247523"/>
    <w:rsid w:val="00270189"/>
    <w:rsid w:val="002B5D37"/>
    <w:rsid w:val="002C4495"/>
    <w:rsid w:val="0031305E"/>
    <w:rsid w:val="003276A7"/>
    <w:rsid w:val="00346A9D"/>
    <w:rsid w:val="003C2CD1"/>
    <w:rsid w:val="003C4BCF"/>
    <w:rsid w:val="003D6B88"/>
    <w:rsid w:val="003E0DBE"/>
    <w:rsid w:val="003E5E09"/>
    <w:rsid w:val="004067E7"/>
    <w:rsid w:val="0041792B"/>
    <w:rsid w:val="00417F36"/>
    <w:rsid w:val="00437AB6"/>
    <w:rsid w:val="00482907"/>
    <w:rsid w:val="004934A1"/>
    <w:rsid w:val="00497CA9"/>
    <w:rsid w:val="00511EC0"/>
    <w:rsid w:val="00517F40"/>
    <w:rsid w:val="005442D9"/>
    <w:rsid w:val="005808AD"/>
    <w:rsid w:val="005B0F19"/>
    <w:rsid w:val="005D7706"/>
    <w:rsid w:val="00615C78"/>
    <w:rsid w:val="006176DA"/>
    <w:rsid w:val="0063052A"/>
    <w:rsid w:val="00635241"/>
    <w:rsid w:val="006355E4"/>
    <w:rsid w:val="00662FAF"/>
    <w:rsid w:val="0067086C"/>
    <w:rsid w:val="006A37A1"/>
    <w:rsid w:val="006C2A74"/>
    <w:rsid w:val="006C6153"/>
    <w:rsid w:val="006D6398"/>
    <w:rsid w:val="006F00D0"/>
    <w:rsid w:val="00721015"/>
    <w:rsid w:val="00725637"/>
    <w:rsid w:val="00750F9F"/>
    <w:rsid w:val="0076515F"/>
    <w:rsid w:val="00766F77"/>
    <w:rsid w:val="00770E13"/>
    <w:rsid w:val="0079378B"/>
    <w:rsid w:val="007A67D9"/>
    <w:rsid w:val="007C1D74"/>
    <w:rsid w:val="007C3EA8"/>
    <w:rsid w:val="007C4789"/>
    <w:rsid w:val="00810D5A"/>
    <w:rsid w:val="0081657A"/>
    <w:rsid w:val="008448D5"/>
    <w:rsid w:val="0085764A"/>
    <w:rsid w:val="00891238"/>
    <w:rsid w:val="008B5231"/>
    <w:rsid w:val="008D38E9"/>
    <w:rsid w:val="00916022"/>
    <w:rsid w:val="0091660E"/>
    <w:rsid w:val="009955C3"/>
    <w:rsid w:val="009A0A54"/>
    <w:rsid w:val="009A1FC7"/>
    <w:rsid w:val="009C47BE"/>
    <w:rsid w:val="009F7A01"/>
    <w:rsid w:val="00A550A8"/>
    <w:rsid w:val="00AA06AE"/>
    <w:rsid w:val="00AA147B"/>
    <w:rsid w:val="00AA17E2"/>
    <w:rsid w:val="00AA4D03"/>
    <w:rsid w:val="00AD32CC"/>
    <w:rsid w:val="00B37BC8"/>
    <w:rsid w:val="00B400C4"/>
    <w:rsid w:val="00B6606B"/>
    <w:rsid w:val="00BA15DB"/>
    <w:rsid w:val="00BC197A"/>
    <w:rsid w:val="00C0012D"/>
    <w:rsid w:val="00C0397C"/>
    <w:rsid w:val="00C606D9"/>
    <w:rsid w:val="00C83B5E"/>
    <w:rsid w:val="00C9569A"/>
    <w:rsid w:val="00CD5A50"/>
    <w:rsid w:val="00D17981"/>
    <w:rsid w:val="00D55FF8"/>
    <w:rsid w:val="00D57F16"/>
    <w:rsid w:val="00DE0D06"/>
    <w:rsid w:val="00DF755A"/>
    <w:rsid w:val="00E0097E"/>
    <w:rsid w:val="00E17697"/>
    <w:rsid w:val="00E52218"/>
    <w:rsid w:val="00E77C1E"/>
    <w:rsid w:val="00E84F25"/>
    <w:rsid w:val="00E92E53"/>
    <w:rsid w:val="00EA1512"/>
    <w:rsid w:val="00EA1FF8"/>
    <w:rsid w:val="00EC73A1"/>
    <w:rsid w:val="00ED3724"/>
    <w:rsid w:val="00ED5FEF"/>
    <w:rsid w:val="00EE327A"/>
    <w:rsid w:val="00EF3E91"/>
    <w:rsid w:val="00F0632A"/>
    <w:rsid w:val="00F1264E"/>
    <w:rsid w:val="00F44AB8"/>
    <w:rsid w:val="00F6210B"/>
    <w:rsid w:val="00F675AC"/>
    <w:rsid w:val="00F759D3"/>
    <w:rsid w:val="00F9410A"/>
    <w:rsid w:val="00FB367C"/>
    <w:rsid w:val="00FC2296"/>
    <w:rsid w:val="00FE2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2C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C2CD1"/>
    <w:pPr>
      <w:jc w:val="center"/>
    </w:pPr>
    <w:rPr>
      <w:b/>
      <w:bCs/>
      <w:sz w:val="20"/>
    </w:rPr>
  </w:style>
  <w:style w:type="paragraph" w:styleId="BalloonText">
    <w:name w:val="Balloon Text"/>
    <w:basedOn w:val="Normal"/>
    <w:link w:val="BalloonTextChar"/>
    <w:semiHidden/>
    <w:rsid w:val="0067086C"/>
    <w:rPr>
      <w:rFonts w:ascii="Tahoma" w:hAnsi="Tahoma"/>
      <w:sz w:val="16"/>
      <w:szCs w:val="16"/>
    </w:rPr>
  </w:style>
  <w:style w:type="character" w:customStyle="1" w:styleId="BalloonTextChar">
    <w:name w:val="Balloon Text Char"/>
    <w:link w:val="BalloonText"/>
    <w:semiHidden/>
    <w:locked/>
    <w:rsid w:val="0067086C"/>
    <w:rPr>
      <w:rFonts w:ascii="Tahoma" w:hAnsi="Tahoma" w:cs="Tahoma"/>
      <w:sz w:val="16"/>
      <w:szCs w:val="16"/>
    </w:rPr>
  </w:style>
  <w:style w:type="paragraph" w:styleId="ListParagraph">
    <w:name w:val="List Paragraph"/>
    <w:basedOn w:val="Normal"/>
    <w:qFormat/>
    <w:rsid w:val="006F00D0"/>
    <w:pPr>
      <w:ind w:left="720"/>
      <w:contextualSpacing/>
    </w:pPr>
  </w:style>
  <w:style w:type="table" w:styleId="TableGrid">
    <w:name w:val="Table Grid"/>
    <w:basedOn w:val="TableNormal"/>
    <w:locked/>
    <w:rsid w:val="003276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C001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2C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C2CD1"/>
    <w:pPr>
      <w:jc w:val="center"/>
    </w:pPr>
    <w:rPr>
      <w:b/>
      <w:bCs/>
      <w:sz w:val="20"/>
    </w:rPr>
  </w:style>
  <w:style w:type="paragraph" w:styleId="BalloonText">
    <w:name w:val="Balloon Text"/>
    <w:basedOn w:val="Normal"/>
    <w:link w:val="BalloonTextChar"/>
    <w:semiHidden/>
    <w:rsid w:val="0067086C"/>
    <w:rPr>
      <w:rFonts w:ascii="Tahoma" w:hAnsi="Tahoma"/>
      <w:sz w:val="16"/>
      <w:szCs w:val="16"/>
    </w:rPr>
  </w:style>
  <w:style w:type="character" w:customStyle="1" w:styleId="BalloonTextChar">
    <w:name w:val="Balloon Text Char"/>
    <w:link w:val="BalloonText"/>
    <w:semiHidden/>
    <w:locked/>
    <w:rsid w:val="0067086C"/>
    <w:rPr>
      <w:rFonts w:ascii="Tahoma" w:hAnsi="Tahoma" w:cs="Tahoma"/>
      <w:sz w:val="16"/>
      <w:szCs w:val="16"/>
    </w:rPr>
  </w:style>
  <w:style w:type="paragraph" w:styleId="ListParagraph">
    <w:name w:val="List Paragraph"/>
    <w:basedOn w:val="Normal"/>
    <w:qFormat/>
    <w:rsid w:val="006F00D0"/>
    <w:pPr>
      <w:ind w:left="720"/>
      <w:contextualSpacing/>
    </w:pPr>
  </w:style>
  <w:style w:type="table" w:styleId="TableGrid">
    <w:name w:val="Table Grid"/>
    <w:basedOn w:val="TableNormal"/>
    <w:locked/>
    <w:rsid w:val="003276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C001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AGENCY REQUEST FOR BUILDING COMMISSION ACTION</vt:lpstr>
    </vt:vector>
  </TitlesOfParts>
  <Company>Wisconsin Department of Transportation</Company>
  <LinksUpToDate>false</LinksUpToDate>
  <CharactersWithSpaces>2151</CharactersWithSpaces>
  <SharedDoc>false</SharedDoc>
  <HLinks>
    <vt:vector size="12" baseType="variant">
      <vt:variant>
        <vt:i4>4784185</vt:i4>
      </vt:variant>
      <vt:variant>
        <vt:i4>3</vt:i4>
      </vt:variant>
      <vt:variant>
        <vt:i4>0</vt:i4>
      </vt:variant>
      <vt:variant>
        <vt:i4>5</vt:i4>
      </vt:variant>
      <vt:variant>
        <vt:lpwstr>mailto:Tricia.Caflisch@wisconsin.gov</vt:lpwstr>
      </vt:variant>
      <vt:variant>
        <vt:lpwstr/>
      </vt:variant>
      <vt:variant>
        <vt:i4>2621450</vt:i4>
      </vt:variant>
      <vt:variant>
        <vt:i4>0</vt:i4>
      </vt:variant>
      <vt:variant>
        <vt:i4>0</vt:i4>
      </vt:variant>
      <vt:variant>
        <vt:i4>5</vt:i4>
      </vt:variant>
      <vt:variant>
        <vt:lpwstr>mailto:William.heberlein@dot.wi.gov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REQUEST FOR BUILDING COMMISSION ACTION</dc:title>
  <dc:creator>DITMAS</dc:creator>
  <cp:lastModifiedBy>Blattner Held, Sharon</cp:lastModifiedBy>
  <cp:revision>2</cp:revision>
  <cp:lastPrinted>2013-01-15T22:15:00Z</cp:lastPrinted>
  <dcterms:created xsi:type="dcterms:W3CDTF">2013-02-15T16:10:00Z</dcterms:created>
  <dcterms:modified xsi:type="dcterms:W3CDTF">2013-02-15T16:10:00Z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